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38" w:rsidRPr="00F1104F" w:rsidRDefault="00912696">
      <w:pPr>
        <w:rPr>
          <w:rFonts w:cstheme="minorHAnsi"/>
          <w:sz w:val="28"/>
          <w:szCs w:val="28"/>
        </w:rPr>
      </w:pPr>
      <w:r w:rsidRPr="00F1104F">
        <w:rPr>
          <w:rFonts w:cstheme="minorHAnsi"/>
          <w:noProof/>
          <w:sz w:val="28"/>
          <w:szCs w:val="28"/>
          <w:lang w:val="ro-RO" w:eastAsia="ro-RO"/>
        </w:rPr>
        <w:drawing>
          <wp:inline distT="0" distB="0" distL="0" distR="0">
            <wp:extent cx="2497455" cy="880110"/>
            <wp:effectExtent l="19050" t="0" r="0" b="0"/>
            <wp:docPr id="1" name="Picture 1" descr="Descriere: antet lic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Descriere: antet lic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96" w:rsidRPr="00F1104F" w:rsidRDefault="00912696">
      <w:pPr>
        <w:rPr>
          <w:rFonts w:cstheme="minorHAnsi"/>
          <w:sz w:val="28"/>
          <w:szCs w:val="28"/>
        </w:rPr>
      </w:pPr>
      <w:r w:rsidRPr="00F1104F">
        <w:rPr>
          <w:rFonts w:cstheme="minorHAnsi"/>
          <w:sz w:val="28"/>
          <w:szCs w:val="28"/>
        </w:rPr>
        <w:t xml:space="preserve">Nr. </w:t>
      </w:r>
      <w:r w:rsidR="00CD4EBD">
        <w:rPr>
          <w:rFonts w:cstheme="minorHAnsi"/>
          <w:sz w:val="28"/>
          <w:szCs w:val="28"/>
        </w:rPr>
        <w:t>5521</w:t>
      </w:r>
      <w:r w:rsidRPr="00F1104F">
        <w:rPr>
          <w:rFonts w:cstheme="minorHAnsi"/>
          <w:sz w:val="28"/>
          <w:szCs w:val="28"/>
        </w:rPr>
        <w:t>/</w:t>
      </w:r>
      <w:r w:rsidR="00CD4EBD">
        <w:rPr>
          <w:rFonts w:cstheme="minorHAnsi"/>
          <w:sz w:val="28"/>
          <w:szCs w:val="28"/>
        </w:rPr>
        <w:t>03.10.2018</w:t>
      </w:r>
      <w:bookmarkStart w:id="0" w:name="_GoBack"/>
      <w:bookmarkEnd w:id="0"/>
    </w:p>
    <w:p w:rsidR="00912696" w:rsidRPr="00F1104F" w:rsidRDefault="00912696">
      <w:pPr>
        <w:rPr>
          <w:rFonts w:cstheme="minorHAnsi"/>
          <w:sz w:val="28"/>
          <w:szCs w:val="28"/>
        </w:rPr>
      </w:pPr>
    </w:p>
    <w:p w:rsidR="00F1104F" w:rsidRDefault="00F1104F" w:rsidP="00912696">
      <w:pPr>
        <w:jc w:val="center"/>
        <w:rPr>
          <w:rFonts w:cstheme="minorHAnsi"/>
          <w:b/>
          <w:sz w:val="28"/>
          <w:szCs w:val="28"/>
        </w:rPr>
      </w:pPr>
    </w:p>
    <w:p w:rsidR="00912696" w:rsidRPr="00F1104F" w:rsidRDefault="00912696" w:rsidP="00912696">
      <w:pPr>
        <w:jc w:val="center"/>
        <w:rPr>
          <w:rFonts w:cstheme="minorHAnsi"/>
          <w:b/>
          <w:sz w:val="28"/>
          <w:szCs w:val="28"/>
        </w:rPr>
      </w:pPr>
      <w:r w:rsidRPr="00F1104F">
        <w:rPr>
          <w:rFonts w:cstheme="minorHAnsi"/>
          <w:b/>
          <w:sz w:val="28"/>
          <w:szCs w:val="28"/>
        </w:rPr>
        <w:t xml:space="preserve">ATRIBUȚIILE CONSILIULUI DE ADMINISTRAȚIE AL </w:t>
      </w:r>
    </w:p>
    <w:p w:rsidR="00912696" w:rsidRPr="00F1104F" w:rsidRDefault="00912696" w:rsidP="00912696">
      <w:pPr>
        <w:jc w:val="center"/>
        <w:rPr>
          <w:rFonts w:cstheme="minorHAnsi"/>
          <w:b/>
          <w:sz w:val="28"/>
          <w:szCs w:val="28"/>
        </w:rPr>
      </w:pPr>
      <w:r w:rsidRPr="00F1104F">
        <w:rPr>
          <w:rFonts w:cstheme="minorHAnsi"/>
          <w:b/>
          <w:sz w:val="28"/>
          <w:szCs w:val="28"/>
        </w:rPr>
        <w:t xml:space="preserve">LICEULUI </w:t>
      </w:r>
      <w:proofErr w:type="gramStart"/>
      <w:r w:rsidRPr="00F1104F">
        <w:rPr>
          <w:rFonts w:cstheme="minorHAnsi"/>
          <w:b/>
          <w:sz w:val="28"/>
          <w:szCs w:val="28"/>
        </w:rPr>
        <w:t>TEORETIC ”</w:t>
      </w:r>
      <w:proofErr w:type="gramEnd"/>
      <w:r w:rsidRPr="00F1104F">
        <w:rPr>
          <w:rFonts w:cstheme="minorHAnsi"/>
          <w:b/>
          <w:sz w:val="28"/>
          <w:szCs w:val="28"/>
        </w:rPr>
        <w:t>ION MIHALACHE” TOPOLOVENI</w:t>
      </w:r>
    </w:p>
    <w:p w:rsidR="00912696" w:rsidRPr="00F1104F" w:rsidRDefault="00912696" w:rsidP="00912696">
      <w:pPr>
        <w:jc w:val="center"/>
        <w:rPr>
          <w:rFonts w:cstheme="minorHAnsi"/>
          <w:b/>
          <w:sz w:val="28"/>
          <w:szCs w:val="28"/>
        </w:rPr>
      </w:pPr>
    </w:p>
    <w:p w:rsidR="00912696" w:rsidRPr="00F1104F" w:rsidRDefault="00912696" w:rsidP="00912696">
      <w:pPr>
        <w:rPr>
          <w:rFonts w:cstheme="minorHAnsi"/>
          <w:sz w:val="28"/>
          <w:szCs w:val="28"/>
        </w:rPr>
      </w:pP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organ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conducere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Consiliul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are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atribuţii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conformitate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prevederile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Legea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nr. 1 din</w:t>
      </w:r>
      <w:proofErr w:type="gram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  2011</w:t>
      </w:r>
      <w:proofErr w:type="gram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educaţiei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naţionale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, cu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modificările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completările</w:t>
      </w:r>
      <w:proofErr w:type="spellEnd"/>
      <w:r w:rsidRPr="00F1104F">
        <w:rPr>
          <w:rStyle w:val="Accentua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Accentuat"/>
          <w:rFonts w:asciiTheme="minorHAnsi" w:hAnsiTheme="minorHAnsi" w:cstheme="minorHAnsi"/>
          <w:sz w:val="28"/>
          <w:szCs w:val="28"/>
        </w:rPr>
        <w:t>ulterioare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următoarele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domenii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: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(1)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Managementul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instituţional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financiar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>:</w:t>
      </w:r>
      <w:r w:rsidRPr="00F1104F">
        <w:rPr>
          <w:rFonts w:asciiTheme="minorHAnsi" w:hAnsiTheme="minorHAnsi" w:cstheme="minorHAnsi"/>
          <w:sz w:val="28"/>
          <w:szCs w:val="28"/>
        </w:rPr>
        <w:t> </w:t>
      </w:r>
    </w:p>
    <w:p w:rsid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a)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revizuirea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proiectul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dezvoltare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instituţională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elaborat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sub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conducerea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directorului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 </w:t>
      </w:r>
    </w:p>
    <w:p w:rsid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b)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adoptă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proiectul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buget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avizează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execuţia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bugetară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nivelul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  <w:r w:rsidRPr="00F1104F">
        <w:rPr>
          <w:rFonts w:asciiTheme="minorHAnsi" w:hAnsiTheme="minorHAnsi" w:cstheme="minorHAnsi"/>
          <w:sz w:val="28"/>
          <w:szCs w:val="28"/>
        </w:rPr>
        <w:br/>
        <w:t xml:space="preserve">c)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regulamentul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ordine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interioară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 </w:t>
      </w:r>
      <w:r w:rsidRPr="00F1104F">
        <w:rPr>
          <w:rFonts w:asciiTheme="minorHAnsi" w:hAnsiTheme="minorHAnsi" w:cstheme="minorHAnsi"/>
          <w:sz w:val="28"/>
          <w:szCs w:val="28"/>
        </w:rPr>
        <w:br/>
        <w:t xml:space="preserve">d)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particularizează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nivelul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contractul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educaţional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– tip,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aprobat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prin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ordin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ministrului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educaţiei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care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sunt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înscrise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drepturile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obligaţiile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reciproce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părinţilor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momentul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înscrierii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elevilor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 </w:t>
      </w:r>
    </w:p>
    <w:p w:rsidR="00C87EFE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>e)  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îşi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asumă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alături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director,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răspunderea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publică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performanţele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  </w:t>
      </w:r>
    </w:p>
    <w:p w:rsidR="00C87EFE" w:rsidRDefault="00C87EF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stabileşte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utilizarea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veniturilor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proprii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concordanţă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planurile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operaţionale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proiectul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dezvoltare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instituţională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planul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managerial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anul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curs;  </w:t>
      </w:r>
    </w:p>
    <w:p w:rsidR="00C87EFE" w:rsidRDefault="00C87EF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g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răspunde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încadrarea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bugetul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aprobat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conformitate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prevederile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legislaţiei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vigoare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  </w:t>
      </w:r>
    </w:p>
    <w:p w:rsidR="0062110E" w:rsidRDefault="00C87EF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62110E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stabileşte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poziţia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şcolii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relaţiile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terţi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 </w:t>
      </w:r>
      <w:r w:rsidR="00F1104F" w:rsidRPr="00F1104F">
        <w:rPr>
          <w:rFonts w:asciiTheme="minorHAnsi" w:hAnsiTheme="minorHAnsi" w:cstheme="minorHAnsi"/>
          <w:sz w:val="28"/>
          <w:szCs w:val="28"/>
        </w:rPr>
        <w:br/>
      </w:r>
      <w:r w:rsidR="0062110E">
        <w:rPr>
          <w:rFonts w:asciiTheme="minorHAnsi" w:hAnsiTheme="minorHAnsi" w:cstheme="minorHAnsi"/>
          <w:sz w:val="28"/>
          <w:szCs w:val="28"/>
        </w:rPr>
        <w:t>i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elaborează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tematica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graficul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şedinţelor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consiliului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 </w:t>
      </w:r>
      <w:r w:rsidR="00F1104F" w:rsidRPr="00F1104F">
        <w:rPr>
          <w:rFonts w:asciiTheme="minorHAnsi" w:hAnsiTheme="minorHAnsi" w:cstheme="minorHAnsi"/>
          <w:sz w:val="28"/>
          <w:szCs w:val="28"/>
        </w:rPr>
        <w:br/>
      </w:r>
      <w:r w:rsidR="0062110E">
        <w:rPr>
          <w:rFonts w:asciiTheme="minorHAnsi" w:hAnsiTheme="minorHAnsi" w:cstheme="minorHAnsi"/>
          <w:sz w:val="28"/>
          <w:szCs w:val="28"/>
        </w:rPr>
        <w:t>j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stabileşte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responsabilităţile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membrilor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consiliului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procedurile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lucru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 </w:t>
      </w:r>
    </w:p>
    <w:p w:rsidR="00113D05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avizează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statul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funcţii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personalul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didactic, didactic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auxiliar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nedidactic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supune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ordonatorului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credite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 </w:t>
      </w:r>
    </w:p>
    <w:p w:rsidR="0062110E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pune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aplicare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hotărârile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luate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şedinţa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reunită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consiliilor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unităţilor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partenere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consorţiul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şcolar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din care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unitatea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face parte.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br/>
        <w:t>  </w:t>
      </w:r>
      <w:r w:rsidRPr="00F1104F">
        <w:rPr>
          <w:rStyle w:val="Robust"/>
          <w:rFonts w:asciiTheme="minorHAnsi" w:hAnsiTheme="minorHAnsi" w:cstheme="minorHAnsi"/>
          <w:sz w:val="28"/>
          <w:szCs w:val="28"/>
        </w:rPr>
        <w:t>(2)</w:t>
      </w:r>
      <w:r w:rsidRPr="00F1104F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Managementul</w:t>
      </w:r>
      <w:proofErr w:type="spellEnd"/>
      <w:proofErr w:type="gram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 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curriculumului</w:t>
      </w:r>
      <w:proofErr w:type="spellEnd"/>
      <w:proofErr w:type="gram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unitatea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>: 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a) 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stabileşte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urma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consultării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elevii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părinţii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baza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resurselor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disponibile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propunerilor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consiliului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profesoral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curriculumul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decizia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şcolii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constituit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atât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pachete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opţionale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ofertate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nivel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naţional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regional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local,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cât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pachete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disciplinare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opţionale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ofertate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nivelul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conformitate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prevederile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legii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educaţiei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naţionale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orarul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măsuri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optimizare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procesului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propuse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consiliul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profesoral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62110E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(3) 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Managementul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resursurselor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umane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unitatea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>: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a)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comisiile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posturilor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auxiliare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administrative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unitatea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validează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rezultatele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b)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realizează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anual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evaluarea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activităţii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didactic, didactic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auxiliar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administrativ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unitatea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acordă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calificativele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anuale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lastRenderedPageBreak/>
        <w:t xml:space="preserve">c)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avizează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,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solicitarea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conducerii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realizarea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examen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medical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complet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cazurile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inaptitudine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profesională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natură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psihocomportamentală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d)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continuitatea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didactic/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catedra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(ă),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cadrele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angajate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cu contract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perioadă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determinată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promovat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examenul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definitivare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condiţiile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legii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e) </w:t>
      </w:r>
      <w:proofErr w:type="gramStart"/>
      <w:r w:rsidRPr="00F1104F">
        <w:rPr>
          <w:rFonts w:asciiTheme="minorHAnsi" w:hAnsiTheme="minorHAnsi" w:cstheme="minorHAnsi"/>
          <w:sz w:val="28"/>
          <w:szCs w:val="28"/>
        </w:rPr>
        <w:t>la</w:t>
      </w:r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propunerea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directorului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unității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învățământ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stabilește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vacante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organizează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post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angajarea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didactic; 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f)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stabileşte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catedrele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disponibile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angajare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statutul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acestora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vacante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rezervate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precum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condiţiile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modalităţile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acestora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conformitate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prevederile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legale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vigoare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 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g)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comisiile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concurs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posturilor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catedrelor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h)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validează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comisiile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concurs,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cazul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care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organizează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nivelul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consorţiului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şcolar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i)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validează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rezultatele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posturilor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/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catedrelor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j)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prelungirea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duratei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contractului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individual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şcolar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următor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candidaţii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ocupat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prin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concurs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validat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condiţiile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metodologiei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consiliul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un post didactic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rezervat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încheiat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contractul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individual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perioadă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cel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mult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un an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şcolar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respectiv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până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revenirea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titularului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post;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k)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eliberarea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funcţie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l) 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hotăreşte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preluarea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conducerii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interimare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funcţiei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director adjunct,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către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un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cadru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membru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consiliul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condițiile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vacantării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postului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respectiv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până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organizarea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concursului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nu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târziu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sfârșitul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anului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școlar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și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revizuieşte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anual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fişa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individuală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postului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care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constituie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anexă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contractul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individual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muncă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fiecare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categorie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personal;</w:t>
      </w:r>
    </w:p>
    <w:p w:rsidR="00F1104F" w:rsidRP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stabilește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perioadele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efectuare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concediului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odihnă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fiecare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cadru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funcţie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interesul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învăţământului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celui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cauză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dar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asigurarea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necesar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desfăşurarea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examenelor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naţionale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F1104F" w:rsidRPr="00F1104F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pensionarea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personalului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timpul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anului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şcolar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motive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temeinice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62110E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planul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încadrare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cu personal didactic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didactic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auxiliar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precum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schema de personal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nedidactic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113D05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F1104F" w:rsidRPr="00F1104F">
        <w:rPr>
          <w:rFonts w:asciiTheme="minorHAnsi" w:hAnsiTheme="minorHAnsi" w:cstheme="minorHAnsi"/>
          <w:sz w:val="28"/>
          <w:szCs w:val="28"/>
        </w:rPr>
        <w:t xml:space="preserve">)  </w:t>
      </w:r>
      <w:proofErr w:type="spellStart"/>
      <w:proofErr w:type="gramStart"/>
      <w:r w:rsidR="00F1104F"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proofErr w:type="gram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programe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dezvoltare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profesională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cadrelor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didactice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propunerea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consiliului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1104F" w:rsidRPr="00F1104F">
        <w:rPr>
          <w:rFonts w:asciiTheme="minorHAnsi" w:hAnsiTheme="minorHAnsi" w:cstheme="minorHAnsi"/>
          <w:sz w:val="28"/>
          <w:szCs w:val="28"/>
        </w:rPr>
        <w:t>profesoral</w:t>
      </w:r>
      <w:proofErr w:type="spellEnd"/>
      <w:r w:rsidR="00F1104F"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br/>
      </w:r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(4)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Managementul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administrativ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al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Style w:val="Robust"/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Style w:val="Robust"/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: 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a) </w:t>
      </w: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administrează</w:t>
      </w:r>
      <w:proofErr w:type="spellEnd"/>
      <w:proofErr w:type="gram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componentele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bazei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materiale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unităţii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învăţământ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1104F">
        <w:rPr>
          <w:rFonts w:asciiTheme="minorHAnsi" w:hAnsiTheme="minorHAnsi" w:cstheme="minorHAnsi"/>
          <w:sz w:val="28"/>
          <w:szCs w:val="28"/>
        </w:rPr>
        <w:t xml:space="preserve">b)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aprobă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acoperirea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integrală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parţială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cheltuielilor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deplasare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participare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manifestări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ştiinţifice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organizate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străinătate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pentru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personalul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didactic,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limita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fondurilor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alocate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prin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buget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din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fonduri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extrabugetare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sponsorizări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;</w:t>
      </w:r>
    </w:p>
    <w:p w:rsidR="00F1104F" w:rsidRPr="00F1104F" w:rsidRDefault="00F1104F" w:rsidP="00F1104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F1104F">
        <w:rPr>
          <w:rFonts w:asciiTheme="minorHAnsi" w:hAnsiTheme="minorHAnsi" w:cstheme="minorHAnsi"/>
          <w:sz w:val="28"/>
          <w:szCs w:val="28"/>
        </w:rPr>
        <w:t>Consiliul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administraţie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îndeplineşte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alte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atribuţii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stabilite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prin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ordine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metodologii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, note,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dispoziţii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ale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Ministerului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Educaţiei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1104F">
        <w:rPr>
          <w:rFonts w:asciiTheme="minorHAnsi" w:hAnsiTheme="minorHAnsi" w:cstheme="minorHAnsi"/>
          <w:sz w:val="28"/>
          <w:szCs w:val="28"/>
        </w:rPr>
        <w:t>Naţionale</w:t>
      </w:r>
      <w:proofErr w:type="spellEnd"/>
      <w:r w:rsidRPr="00F1104F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F1104F" w:rsidRDefault="00F1104F" w:rsidP="00F1104F">
      <w:pPr>
        <w:rPr>
          <w:rFonts w:cstheme="minorHAnsi"/>
          <w:sz w:val="28"/>
          <w:szCs w:val="28"/>
        </w:rPr>
      </w:pPr>
    </w:p>
    <w:p w:rsidR="00113D05" w:rsidRDefault="00113D05" w:rsidP="00F1104F">
      <w:pPr>
        <w:rPr>
          <w:rFonts w:cstheme="minorHAnsi"/>
          <w:sz w:val="28"/>
          <w:szCs w:val="28"/>
        </w:rPr>
      </w:pPr>
    </w:p>
    <w:p w:rsidR="00113D05" w:rsidRDefault="00113D05" w:rsidP="00F110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Director,</w:t>
      </w:r>
    </w:p>
    <w:p w:rsidR="00113D05" w:rsidRPr="00F1104F" w:rsidRDefault="00113D05" w:rsidP="00F110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Prof. Laura </w:t>
      </w:r>
      <w:proofErr w:type="spellStart"/>
      <w:r>
        <w:rPr>
          <w:rFonts w:cstheme="minorHAnsi"/>
          <w:sz w:val="28"/>
          <w:szCs w:val="28"/>
        </w:rPr>
        <w:t>Florea</w:t>
      </w:r>
      <w:proofErr w:type="spellEnd"/>
    </w:p>
    <w:sectPr w:rsidR="00113D05" w:rsidRPr="00F1104F" w:rsidSect="00113D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12696"/>
    <w:rsid w:val="00113D05"/>
    <w:rsid w:val="00130F47"/>
    <w:rsid w:val="001A1993"/>
    <w:rsid w:val="002A4E92"/>
    <w:rsid w:val="00510F7A"/>
    <w:rsid w:val="0062110E"/>
    <w:rsid w:val="00816543"/>
    <w:rsid w:val="008B034C"/>
    <w:rsid w:val="00912696"/>
    <w:rsid w:val="00AE0497"/>
    <w:rsid w:val="00B22438"/>
    <w:rsid w:val="00C5048B"/>
    <w:rsid w:val="00C87EFE"/>
    <w:rsid w:val="00CD4EBD"/>
    <w:rsid w:val="00E97689"/>
    <w:rsid w:val="00F1104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12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2696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9126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04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F1104F"/>
    <w:rPr>
      <w:b/>
      <w:bCs/>
    </w:rPr>
  </w:style>
  <w:style w:type="character" w:styleId="Accentuat">
    <w:name w:val="Emphasis"/>
    <w:basedOn w:val="Fontdeparagrafimplicit"/>
    <w:uiPriority w:val="20"/>
    <w:qFormat/>
    <w:rsid w:val="00F110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T410</dc:creator>
  <cp:lastModifiedBy>Lenovo T410</cp:lastModifiedBy>
  <cp:revision>3</cp:revision>
  <cp:lastPrinted>2018-10-02T14:49:00Z</cp:lastPrinted>
  <dcterms:created xsi:type="dcterms:W3CDTF">2018-10-02T13:38:00Z</dcterms:created>
  <dcterms:modified xsi:type="dcterms:W3CDTF">2018-10-04T14:40:00Z</dcterms:modified>
</cp:coreProperties>
</file>